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94" w:rsidRPr="006A2494" w:rsidRDefault="006A2494" w:rsidP="006A24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6A2494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sk-SK"/>
        </w:rPr>
        <w:t>Akademický rok</w:t>
      </w:r>
    </w:p>
    <w:p w:rsidR="006A2494" w:rsidRPr="006A2494" w:rsidRDefault="006A2494" w:rsidP="006A249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a</w:t>
      </w:r>
      <w:r w:rsidRPr="006A2494">
        <w:rPr>
          <w:rFonts w:ascii="Arial" w:eastAsia="Times New Roman" w:hAnsi="Arial" w:cs="Arial"/>
          <w:sz w:val="24"/>
          <w:szCs w:val="24"/>
          <w:lang w:eastAsia="sk-SK"/>
        </w:rPr>
        <w:t xml:space="preserve">kademický rok sa začína 1. septembra bežného roka a končí sa 31. augusta nasledujúceho roka. </w:t>
      </w:r>
    </w:p>
    <w:p w:rsidR="006A2494" w:rsidRPr="006A2494" w:rsidRDefault="006A2494" w:rsidP="006A249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s</w:t>
      </w:r>
      <w:r w:rsidRPr="006A2494">
        <w:rPr>
          <w:rFonts w:ascii="Arial" w:eastAsia="Times New Roman" w:hAnsi="Arial" w:cs="Arial"/>
          <w:sz w:val="24"/>
          <w:szCs w:val="24"/>
          <w:lang w:eastAsia="sk-SK"/>
        </w:rPr>
        <w:t>kladá sa z dvoch semestrov (zimného a l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etného) alebo z troch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trimestrov</w:t>
      </w:r>
      <w:proofErr w:type="spellEnd"/>
      <w:r w:rsidRPr="006A2494">
        <w:rPr>
          <w:rFonts w:ascii="Arial" w:eastAsia="Times New Roman" w:hAnsi="Arial" w:cs="Arial"/>
          <w:sz w:val="24"/>
          <w:szCs w:val="24"/>
          <w:lang w:eastAsia="sk-SK"/>
        </w:rPr>
        <w:t xml:space="preserve">. </w:t>
      </w:r>
    </w:p>
    <w:p w:rsidR="006A2494" w:rsidRPr="006A2494" w:rsidRDefault="006A2494" w:rsidP="006A2494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2494" w:rsidRPr="006A2494" w:rsidRDefault="006A2494" w:rsidP="006A249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k</w:t>
      </w:r>
      <w:r w:rsidRPr="006A2494">
        <w:rPr>
          <w:rFonts w:ascii="Arial" w:eastAsia="Times New Roman" w:hAnsi="Arial" w:cs="Arial"/>
          <w:sz w:val="24"/>
          <w:szCs w:val="24"/>
          <w:lang w:eastAsia="sk-SK"/>
        </w:rPr>
        <w:t>aždý semester trvá minimálne 12 výučbových týždňov, na ktoré nadväzuje maximá</w:t>
      </w:r>
      <w:r>
        <w:rPr>
          <w:rFonts w:ascii="Arial" w:eastAsia="Times New Roman" w:hAnsi="Arial" w:cs="Arial"/>
          <w:sz w:val="24"/>
          <w:szCs w:val="24"/>
          <w:lang w:eastAsia="sk-SK"/>
        </w:rPr>
        <w:t>lne 6 týždňové skúškové obdobie</w:t>
      </w:r>
    </w:p>
    <w:p w:rsidR="006A2494" w:rsidRPr="006A2494" w:rsidRDefault="006A2494" w:rsidP="006A2494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2494" w:rsidRPr="006A2494" w:rsidRDefault="006A2494" w:rsidP="006A249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š</w:t>
      </w:r>
      <w:r w:rsidRPr="006A2494">
        <w:rPr>
          <w:rFonts w:ascii="Arial" w:eastAsia="Times New Roman" w:hAnsi="Arial" w:cs="Arial"/>
          <w:sz w:val="24"/>
          <w:szCs w:val="24"/>
          <w:lang w:eastAsia="sk-SK"/>
        </w:rPr>
        <w:t>tudenti posledného ročníka štúdia v letnom semestri môžu mať upravený počet výučbových týždňov odlišne.</w:t>
      </w:r>
    </w:p>
    <w:p w:rsidR="006A2494" w:rsidRDefault="006A2494" w:rsidP="006A2494">
      <w:pPr>
        <w:pStyle w:val="Odsekzoznamu"/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6A2494" w:rsidRPr="006A2494" w:rsidRDefault="006A2494" w:rsidP="006A2494">
      <w:pPr>
        <w:pStyle w:val="Odsekzoznamu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6A2494">
        <w:rPr>
          <w:rFonts w:ascii="Arial" w:eastAsia="Times New Roman" w:hAnsi="Arial" w:cs="Arial"/>
          <w:sz w:val="24"/>
          <w:szCs w:val="24"/>
          <w:lang w:eastAsia="sk-SK"/>
        </w:rPr>
        <w:t xml:space="preserve"> Organizácia akademického roka je stanovená štatútom fakulty alebo štatútom vysokej školy, v prípade, ak sa vysoká škola nečlení na fakulty. </w:t>
      </w:r>
    </w:p>
    <w:p w:rsidR="00212D22" w:rsidRDefault="00212D22"/>
    <w:sectPr w:rsidR="00212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4B1C"/>
    <w:multiLevelType w:val="hybridMultilevel"/>
    <w:tmpl w:val="6F102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94"/>
    <w:rsid w:val="00212D22"/>
    <w:rsid w:val="006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2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2021-04-16T21:03:00Z</dcterms:created>
  <dcterms:modified xsi:type="dcterms:W3CDTF">2021-04-16T21:06:00Z</dcterms:modified>
</cp:coreProperties>
</file>