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72" w:rsidRPr="002E6A56" w:rsidRDefault="005D3F72" w:rsidP="005D3F72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28"/>
          <w:lang w:eastAsia="sk-SK"/>
        </w:rPr>
      </w:pPr>
      <w:r w:rsidRPr="002E6A56">
        <w:rPr>
          <w:rFonts w:ascii="Arial Black" w:eastAsia="Times New Roman" w:hAnsi="Arial Black" w:cs="Times New Roman"/>
          <w:b/>
          <w:bCs/>
          <w:color w:val="FF6600"/>
          <w:sz w:val="28"/>
          <w:szCs w:val="28"/>
          <w:lang w:eastAsia="sk-SK"/>
        </w:rPr>
        <w:t>Podmienky prijatia na vysokú školu</w:t>
      </w:r>
    </w:p>
    <w:p w:rsidR="005D3F72" w:rsidRPr="002E6A56" w:rsidRDefault="005D3F72" w:rsidP="005D3F7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2E6A56">
        <w:rPr>
          <w:rFonts w:ascii="Arial Black" w:eastAsia="Times New Roman" w:hAnsi="Arial Black" w:cs="Times New Roman"/>
          <w:sz w:val="24"/>
          <w:szCs w:val="24"/>
          <w:lang w:eastAsia="sk-SK"/>
        </w:rPr>
        <w:t>Aké sú podmienky prijatia na vysokú školu ?</w:t>
      </w:r>
    </w:p>
    <w:p w:rsidR="005D3F72" w:rsidRPr="002E6A56" w:rsidRDefault="005D3F72" w:rsidP="005D3F7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2E6A56" w:rsidRDefault="005D3F72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>Každý má právo študovať na vysokej škole zvolený študijný program, ak splní základné podmienky prijatia na štúdium a ďalšie podmienky určené fakultou alebo vysokou školou poskytujúcou zvolený študijný program (</w:t>
      </w:r>
      <w:r w:rsidRPr="002E6A56">
        <w:rPr>
          <w:rFonts w:ascii="Arial Black" w:eastAsia="Times New Roman" w:hAnsi="Arial Black" w:cs="Arial"/>
          <w:i/>
          <w:iCs/>
          <w:sz w:val="15"/>
          <w:szCs w:val="15"/>
          <w:lang w:eastAsia="sk-SK"/>
        </w:rPr>
        <w:t xml:space="preserve">pozri §55 </w:t>
      </w:r>
      <w:hyperlink r:id="rId5" w:tgtFrame="_blank" w:tooltip="zákon č.131/2002 Z.z. o vysokých školách, PDF formát" w:history="1">
        <w:r w:rsidRPr="002E6A56">
          <w:rPr>
            <w:rFonts w:ascii="Arial Black" w:eastAsia="Times New Roman" w:hAnsi="Arial Black" w:cs="Arial"/>
            <w:i/>
            <w:iCs/>
            <w:color w:val="0000FF"/>
            <w:sz w:val="15"/>
            <w:szCs w:val="15"/>
            <w:u w:val="single"/>
            <w:lang w:eastAsia="sk-SK"/>
          </w:rPr>
          <w:t xml:space="preserve">zákona č. 131/2002 </w:t>
        </w:r>
        <w:proofErr w:type="spellStart"/>
        <w:r w:rsidRPr="002E6A56">
          <w:rPr>
            <w:rFonts w:ascii="Arial Black" w:eastAsia="Times New Roman" w:hAnsi="Arial Black" w:cs="Arial"/>
            <w:i/>
            <w:iCs/>
            <w:color w:val="0000FF"/>
            <w:sz w:val="15"/>
            <w:szCs w:val="15"/>
            <w:u w:val="single"/>
            <w:lang w:eastAsia="sk-SK"/>
          </w:rPr>
          <w:t>Z.z</w:t>
        </w:r>
        <w:proofErr w:type="spellEnd"/>
        <w:r w:rsidRPr="002E6A56">
          <w:rPr>
            <w:rFonts w:ascii="Arial Black" w:eastAsia="Times New Roman" w:hAnsi="Arial Black" w:cs="Arial"/>
            <w:i/>
            <w:iCs/>
            <w:color w:val="0000FF"/>
            <w:sz w:val="15"/>
            <w:szCs w:val="15"/>
            <w:u w:val="single"/>
            <w:lang w:eastAsia="sk-SK"/>
          </w:rPr>
          <w:t>. o vysokých školách</w:t>
        </w:r>
      </w:hyperlink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 xml:space="preserve">). </w:t>
      </w:r>
    </w:p>
    <w:p w:rsidR="002E6A56" w:rsidRDefault="005D3F72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bookmarkStart w:id="0" w:name="_GoBack"/>
      <w:bookmarkEnd w:id="0"/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br/>
        <w:t>     •  </w:t>
      </w:r>
      <w:r w:rsidRPr="002E6A56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Základnou podmienkou prijatia</w:t>
      </w: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 xml:space="preserve"> (</w:t>
      </w:r>
      <w:r w:rsidRPr="002E6A56">
        <w:rPr>
          <w:rFonts w:ascii="Arial Black" w:eastAsia="Times New Roman" w:hAnsi="Arial Black" w:cs="Arial"/>
          <w:i/>
          <w:iCs/>
          <w:sz w:val="15"/>
          <w:szCs w:val="15"/>
          <w:lang w:eastAsia="sk-SK"/>
        </w:rPr>
        <w:t xml:space="preserve">§56, </w:t>
      </w:r>
      <w:hyperlink r:id="rId6" w:tgtFrame="_blank" w:tooltip="zákon č.131/2002 Z.z. o vysokých školách, PDF formát" w:history="1">
        <w:r w:rsidRPr="002E6A56">
          <w:rPr>
            <w:rFonts w:ascii="Arial Black" w:eastAsia="Times New Roman" w:hAnsi="Arial Black" w:cs="Arial"/>
            <w:i/>
            <w:iCs/>
            <w:color w:val="0000FF"/>
            <w:sz w:val="15"/>
            <w:szCs w:val="15"/>
            <w:u w:val="single"/>
            <w:lang w:eastAsia="sk-SK"/>
          </w:rPr>
          <w:t>zákon 131/2002</w:t>
        </w:r>
      </w:hyperlink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 xml:space="preserve">) na bakalárske štúdium je získanie úplného stredného vzdelania alebo úplného stredného odborného vzdelania. Túto podmienku spĺňajú absolventi strednej školy s vysvedčením o maturitnej skúške vydaným po úspešnom vykonaní maturitnej skúšky. </w:t>
      </w:r>
    </w:p>
    <w:p w:rsidR="002E6A56" w:rsidRDefault="002E6A56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2E6A56" w:rsidRDefault="005D3F72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br/>
        <w:t xml:space="preserve">Pre uchádzačov, ktorí dosiahli požadované vzdelanie v zahraničí je základnou podmienkou prijatia uznanie, že úspešne vykonaná záverečná skúška a doklady potvrdzujúce ukončený stupeň štúdia zodpovedajú požiadavkám zákona na požadovaný stupeň úplného stredného vzdelania. </w:t>
      </w:r>
    </w:p>
    <w:p w:rsidR="002E6A56" w:rsidRDefault="002E6A56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5D3F72" w:rsidRDefault="005D3F72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br/>
        <w:t>     • </w:t>
      </w:r>
      <w:r w:rsidRPr="002E6A56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Ďalšie podmienky prijatia</w:t>
      </w: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 xml:space="preserve"> (</w:t>
      </w:r>
      <w:r w:rsidRPr="002E6A56">
        <w:rPr>
          <w:rFonts w:ascii="Arial Black" w:eastAsia="Times New Roman" w:hAnsi="Arial Black" w:cs="Arial"/>
          <w:i/>
          <w:iCs/>
          <w:sz w:val="15"/>
          <w:szCs w:val="15"/>
          <w:lang w:eastAsia="sk-SK"/>
        </w:rPr>
        <w:t xml:space="preserve">§57, </w:t>
      </w:r>
      <w:hyperlink r:id="rId7" w:tgtFrame="_blank" w:tooltip="zákon č.131/2002 Z.z. o vysokých školách, PDF formát" w:history="1">
        <w:r w:rsidRPr="002E6A56">
          <w:rPr>
            <w:rFonts w:ascii="Arial Black" w:eastAsia="Times New Roman" w:hAnsi="Arial Black" w:cs="Arial"/>
            <w:i/>
            <w:iCs/>
            <w:color w:val="0000FF"/>
            <w:sz w:val="15"/>
            <w:szCs w:val="15"/>
            <w:u w:val="single"/>
            <w:lang w:eastAsia="sk-SK"/>
          </w:rPr>
          <w:t>zákon 131/2002</w:t>
        </w:r>
      </w:hyperlink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 xml:space="preserve">) na štúdium si určuje samotná fakulta / vysoká škola. Informácie o podmienkach štúdia, o prijímacom konaní a požiadavkách na prijímacie skúšky sú zverejnené prostredníctvom internetových (webových) stránok fakúlt a vysokých škôl najneskôr do 20. septembra alebo najneskôr dva mesiace pred posledným dňom určeným na podanie prihlášok. </w:t>
      </w:r>
    </w:p>
    <w:p w:rsidR="002E6A56" w:rsidRDefault="002E6A56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2E6A56" w:rsidRDefault="002E6A56" w:rsidP="005D3F72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2E6A56" w:rsidRPr="002E6A56" w:rsidRDefault="002E6A56" w:rsidP="005D3F7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5D3F72" w:rsidRPr="002E6A56" w:rsidRDefault="005D3F72" w:rsidP="005D3F72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2E6A56">
        <w:rPr>
          <w:rFonts w:ascii="Arial Black" w:eastAsia="Times New Roman" w:hAnsi="Arial Black" w:cs="Arial"/>
          <w:b/>
          <w:bCs/>
          <w:sz w:val="24"/>
          <w:szCs w:val="24"/>
          <w:lang w:eastAsia="sk-SK"/>
        </w:rPr>
        <w:t>Upozornenie:</w:t>
      </w: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t xml:space="preserve"> </w:t>
      </w:r>
      <w:r w:rsidRPr="002E6A56">
        <w:rPr>
          <w:rFonts w:ascii="Arial Black" w:eastAsia="Times New Roman" w:hAnsi="Arial Black" w:cs="Arial"/>
          <w:sz w:val="24"/>
          <w:szCs w:val="24"/>
          <w:lang w:eastAsia="sk-SK"/>
        </w:rPr>
        <w:br/>
        <w:t>§58 ods. 9 zákona 131/2002: "</w:t>
      </w:r>
      <w:r w:rsidRPr="002E6A56">
        <w:rPr>
          <w:rFonts w:ascii="Arial Black" w:eastAsia="Times New Roman" w:hAnsi="Arial Black" w:cs="Arial"/>
          <w:i/>
          <w:iCs/>
          <w:sz w:val="24"/>
          <w:szCs w:val="24"/>
          <w:lang w:eastAsia="sk-SK"/>
        </w:rPr>
        <w:t xml:space="preserve">Vysoká škola alebo fakulta má právo požadovať od prijatých uchádzačov informáciu, či sa zapíšu na štúdium. Uchádzač je povinný takú informáciu poskytnúť vysokej škole alebo fakulte do začiatku </w:t>
      </w:r>
      <w:hyperlink r:id="rId8" w:anchor="wSoAK" w:tooltip="Čo je akademický rok - výklad pojmu v samostatnom okne" w:history="1">
        <w:r w:rsidRPr="002E6A56">
          <w:rPr>
            <w:rFonts w:ascii="Arial Black" w:eastAsia="Times New Roman" w:hAnsi="Arial Black" w:cs="Arial"/>
            <w:i/>
            <w:iCs/>
            <w:color w:val="0000FF"/>
            <w:sz w:val="24"/>
            <w:szCs w:val="24"/>
            <w:u w:val="single"/>
            <w:lang w:eastAsia="sk-SK"/>
          </w:rPr>
          <w:t>akademického roku</w:t>
        </w:r>
      </w:hyperlink>
      <w:r w:rsidRPr="002E6A56">
        <w:rPr>
          <w:rFonts w:ascii="Arial Black" w:eastAsia="Times New Roman" w:hAnsi="Arial Black" w:cs="Arial"/>
          <w:i/>
          <w:iCs/>
          <w:sz w:val="24"/>
          <w:szCs w:val="24"/>
          <w:lang w:eastAsia="sk-SK"/>
        </w:rPr>
        <w:t xml:space="preserve"> (§ 61). Ak uchádzač neprejaví o štúdium záujem alebo informáciu v určenom čase neposkytne, </w:t>
      </w:r>
      <w:r w:rsidRPr="002E6A56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sk-SK"/>
        </w:rPr>
        <w:t>zaniká</w:t>
      </w:r>
      <w:r w:rsidRPr="002E6A56">
        <w:rPr>
          <w:rFonts w:ascii="Arial Black" w:eastAsia="Times New Roman" w:hAnsi="Arial Black" w:cs="Arial"/>
          <w:i/>
          <w:iCs/>
          <w:sz w:val="24"/>
          <w:szCs w:val="24"/>
          <w:lang w:eastAsia="sk-SK"/>
        </w:rPr>
        <w:t xml:space="preserve"> mu </w:t>
      </w:r>
      <w:r w:rsidRPr="002E6A56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sk-SK"/>
        </w:rPr>
        <w:t>právo zapísať sa na štúdium</w:t>
      </w:r>
      <w:r w:rsidRPr="002E6A56">
        <w:rPr>
          <w:rFonts w:ascii="Arial Black" w:eastAsia="Times New Roman" w:hAnsi="Arial Black" w:cs="Arial"/>
          <w:i/>
          <w:iCs/>
          <w:sz w:val="24"/>
          <w:szCs w:val="24"/>
          <w:lang w:eastAsia="sk-SK"/>
        </w:rPr>
        <w:t xml:space="preserve"> daného študijného programu a vysoká škola alebo fakulta zruší rozhodnutie, ktorým nebol ďalší uchádzač v poradí podľa výsledkov prijímacieho </w:t>
      </w:r>
      <w:r w:rsidRPr="002E6A56">
        <w:rPr>
          <w:rFonts w:ascii="Arial Black" w:eastAsia="Times New Roman" w:hAnsi="Arial Black" w:cs="Arial"/>
          <w:i/>
          <w:iCs/>
          <w:sz w:val="24"/>
          <w:szCs w:val="24"/>
          <w:lang w:eastAsia="sk-SK"/>
        </w:rPr>
        <w:lastRenderedPageBreak/>
        <w:t xml:space="preserve">konania na štúdium prijatý, a vydá nové rozhodnutie o jeho prijatí na štúdium." </w:t>
      </w:r>
    </w:p>
    <w:p w:rsidR="00B65582" w:rsidRPr="002E6A56" w:rsidRDefault="00B65582">
      <w:pPr>
        <w:rPr>
          <w:rFonts w:ascii="Arial Black" w:hAnsi="Arial Black"/>
        </w:rPr>
      </w:pPr>
    </w:p>
    <w:sectPr w:rsidR="00B65582" w:rsidRPr="002E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72"/>
    <w:rsid w:val="00284819"/>
    <w:rsid w:val="002E6A56"/>
    <w:rsid w:val="005D3F72"/>
    <w:rsid w:val="00B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tisr.sk/skolstvo/vysoke-skoly/prijimacky-na-vysoke-skoly/ako-na-vysoku-skolu.html?page_id=92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vtisr.sk/buxus/docs/PKvs/z131_200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vtisr.sk/buxus/docs/PKvs/z131_2002.pdf" TargetMode="External"/><Relationship Id="rId5" Type="http://schemas.openxmlformats.org/officeDocument/2006/relationships/hyperlink" Target="https://www.cvtisr.sk/buxus/docs/PKvs/z131_200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2021-04-17T09:21:00Z</dcterms:created>
  <dcterms:modified xsi:type="dcterms:W3CDTF">2021-04-17T09:21:00Z</dcterms:modified>
</cp:coreProperties>
</file>