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DC" w:rsidRPr="00B75517" w:rsidRDefault="00176ADC" w:rsidP="0017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75517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sk-SK"/>
        </w:rPr>
        <w:t>Prihláška na vysokú školu</w:t>
      </w:r>
    </w:p>
    <w:p w:rsidR="00B75517" w:rsidRPr="00B75517" w:rsidRDefault="00B75517" w:rsidP="00B75517">
      <w:pPr>
        <w:pStyle w:val="Odsekzoznamu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>u</w:t>
      </w:r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chádzač sa prihlasuje na vysokoškolské štúdium 1. stupňa a 1. a 2. stupňa spojeného do jedného celku vyplnením prihlášky a jej odoslaním </w:t>
      </w:r>
      <w:hyperlink r:id="rId6" w:anchor="wSoTPPr" w:tooltip="Termíny na podávanie prihlášok na vysoké školy (v samostatnom okne)" w:history="1">
        <w:r w:rsidR="00176ADC" w:rsidRPr="00B75517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do stanoveného termínu</w:t>
        </w:r>
      </w:hyperlink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 na príslušnú fakultu alebo na </w:t>
      </w:r>
      <w:proofErr w:type="spellStart"/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>bezfakultnú</w:t>
      </w:r>
      <w:proofErr w:type="spellEnd"/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 vyso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kú školu (ďalej len „fakulta“)</w:t>
      </w:r>
    </w:p>
    <w:p w:rsidR="00B75517" w:rsidRDefault="00B75517" w:rsidP="00B75517">
      <w:pPr>
        <w:pStyle w:val="Odsekzoznamu"/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176ADC" w:rsidRDefault="00176ADC" w:rsidP="00B75517">
      <w:pPr>
        <w:pStyle w:val="Odsekzoznamu"/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Prihlášku je možné podať: </w:t>
      </w:r>
    </w:p>
    <w:p w:rsidR="00B75517" w:rsidRPr="00B75517" w:rsidRDefault="00B75517" w:rsidP="00B75517">
      <w:pPr>
        <w:pStyle w:val="Odsekzoznamu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176ADC" w:rsidRDefault="00B75517" w:rsidP="00176ADC">
      <w:pPr>
        <w:spacing w:after="0" w:line="240" w:lineRule="auto"/>
        <w:rPr>
          <w:rFonts w:ascii="Arial Black" w:eastAsia="Times New Roman" w:hAnsi="Arial Black" w:cs="Times New Roman"/>
          <w:color w:val="0000FF"/>
          <w:sz w:val="24"/>
          <w:szCs w:val="24"/>
          <w:u w:val="single"/>
          <w:lang w:eastAsia="sk-SK"/>
        </w:rPr>
      </w:pPr>
      <w:r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 •  v elektronickej forme </w:t>
      </w:r>
      <w:r w:rsidR="00176ADC"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webové adresy </w:t>
      </w:r>
      <w:hyperlink r:id="rId7" w:tgtFrame="_blank" w:history="1">
        <w:r w:rsidR="00176ADC" w:rsidRPr="00176ADC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03412EEA" wp14:editId="76B18558">
              <wp:extent cx="152400" cy="152400"/>
              <wp:effectExtent l="0" t="0" r="0" b="0"/>
              <wp:docPr id="1" name="Obrázok 7" descr="Zoznam fakúlt vysokých škôl › &#10;podľa názvu fakulty › &#10;s webovou adresou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Zoznam fakúlt vysokých škôl › &#10;podľa názvu fakulty › &#10;s webovou adresou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76ADC" w:rsidRPr="00176ADC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 xml:space="preserve">fakúlt </w:t>
        </w:r>
      </w:hyperlink>
      <w:r w:rsidR="00176ADC"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a </w:t>
      </w:r>
      <w:hyperlink r:id="rId9" w:tgtFrame="_blank" w:history="1">
        <w:r w:rsidR="00176ADC" w:rsidRPr="00176ADC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135585F9" wp14:editId="53015562">
              <wp:extent cx="152400" cy="152400"/>
              <wp:effectExtent l="0" t="0" r="0" b="0"/>
              <wp:docPr id="2" name="Obrázok 2" descr="Zoznam vysokých škôl › &#10;podľa názvu vysokej školy › &#10;s webovou adresou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Zoznam vysokých škôl › &#10;podľa názvu vysokej školy › &#10;s webovou adresou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76ADC" w:rsidRPr="00176ADC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škôl</w:t>
        </w:r>
      </w:hyperlink>
    </w:p>
    <w:p w:rsidR="00B75517" w:rsidRPr="00176ADC" w:rsidRDefault="00B75517" w:rsidP="00176AD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B75517" w:rsidRDefault="00B75517" w:rsidP="00176AD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Times New Roman"/>
          <w:sz w:val="24"/>
          <w:szCs w:val="24"/>
          <w:lang w:eastAsia="sk-SK"/>
        </w:rPr>
        <w:t>  •  v písomnej forme</w:t>
      </w:r>
      <w:r w:rsidR="00176ADC"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</w:t>
      </w:r>
      <w:hyperlink r:id="rId10" w:tgtFrame="_blank" w:tooltip="Čisté tlačivo: Prihláška na vysokú školu na 1. stupeň vysokoškolského štúdia, DOCX formát" w:history="1">
        <w:r w:rsidR="00176ADC" w:rsidRPr="00176ADC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753565B8" wp14:editId="1C8C2ADF">
              <wp:extent cx="152400" cy="152400"/>
              <wp:effectExtent l="0" t="0" r="0" b="0"/>
              <wp:docPr id="3" name="Obrázok 3" descr="DOCX formát">
                <a:hlinkClick xmlns:a="http://schemas.openxmlformats.org/drawingml/2006/main" r:id="rId10" tgtFrame="&quot;_blank&quot;" tooltip="&quot;Čisté tlačivo: Prihláška na vysokú školu na 1. stupeň vysokoškolského štúdia, DOCX formá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DOCX formát">
                        <a:hlinkClick r:id="rId10" tgtFrame="&quot;_blank&quot;" tooltip="&quot;Čisté tlačivo: Prihláška na vysokú školu na 1. stupeň vysokoškolského štúdia, DOCX formá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76ADC" w:rsidRPr="00176ADC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formulár</w:t>
        </w:r>
      </w:hyperlink>
      <w:r w:rsidR="00176ADC"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platný od 02.2019,   </w:t>
      </w:r>
      <w:hyperlink r:id="rId12" w:tgtFrame="_blank" w:tooltip="Ministerstvo školstva, vedy, výskumu a športu Slovenskej republiky" w:history="1">
        <w:r w:rsidR="00176ADC" w:rsidRPr="00176ADC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zdroj : </w:t>
        </w:r>
      </w:hyperlink>
      <w:r>
        <w:rPr>
          <w:rFonts w:ascii="Arial Black" w:eastAsia="Times New Roman" w:hAnsi="Arial Black" w:cs="Times New Roman"/>
          <w:sz w:val="24"/>
          <w:szCs w:val="24"/>
          <w:lang w:eastAsia="sk-SK"/>
        </w:rPr>
        <w:t>  </w:t>
      </w:r>
      <w:proofErr w:type="spellStart"/>
      <w:r>
        <w:rPr>
          <w:rFonts w:ascii="Arial Black" w:eastAsia="Times New Roman" w:hAnsi="Arial Black" w:cs="Times New Roman"/>
          <w:sz w:val="24"/>
          <w:szCs w:val="24"/>
          <w:lang w:eastAsia="sk-SK"/>
        </w:rPr>
        <w:t>MŠVVaŠ</w:t>
      </w:r>
      <w:r w:rsidR="00176ADC"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>SR</w:t>
      </w:r>
      <w:proofErr w:type="spellEnd"/>
    </w:p>
    <w:p w:rsidR="00176ADC" w:rsidRDefault="00176ADC" w:rsidP="00176ADC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sk-SK"/>
        </w:rPr>
      </w:pPr>
      <w:r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</w:t>
      </w:r>
      <w:r w:rsidRPr="00176ADC">
        <w:rPr>
          <w:rFonts w:ascii="Arial Black" w:eastAsia="Times New Roman" w:hAnsi="Arial Black" w:cs="Times New Roman"/>
          <w:noProof/>
          <w:color w:val="0000FF"/>
          <w:sz w:val="24"/>
          <w:szCs w:val="24"/>
          <w:lang w:eastAsia="sk-SK"/>
        </w:rPr>
        <w:drawing>
          <wp:inline distT="0" distB="0" distL="0" distR="0" wp14:anchorId="48557D8F" wp14:editId="12BEBAE8">
            <wp:extent cx="152400" cy="152400"/>
            <wp:effectExtent l="0" t="0" r="0" b="0"/>
            <wp:docPr id="4" name="Obrázok 4" descr="Kódy stredných škôl › &#10;do prihlášky na vysokú školu › &#10;pre aktuálnych maturantov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ódy stredných škôl › &#10;do prihlášky na vysokú školu › &#10;pre aktuálnych maturantov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</w:t>
      </w:r>
      <w:hyperlink r:id="rId15" w:tgtFrame="_blank" w:history="1">
        <w:r w:rsidRPr="00176ADC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3A151599" wp14:editId="55EA54B7">
              <wp:extent cx="152400" cy="152400"/>
              <wp:effectExtent l="0" t="0" r="0" b="0"/>
              <wp:docPr id="5" name="Obrázok 5" descr="Kódy stredných škôl › &#10;do prihlášky na vysokú školu › &#10;pre aktuálnych maturantov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Kódy stredných škôl › &#10;do prihlášky na vysokú školu › &#10;pre aktuálnych maturantov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76ADC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kódy stredných škôl</w:t>
        </w:r>
      </w:hyperlink>
      <w:r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do prihlášky pre aktuálnych maturantov </w:t>
      </w:r>
      <w:r w:rsidRPr="00176ADC">
        <w:rPr>
          <w:rFonts w:ascii="Arial Black" w:eastAsia="Times New Roman" w:hAnsi="Arial Black" w:cs="Times New Roman"/>
          <w:color w:val="FF0000"/>
          <w:sz w:val="24"/>
          <w:szCs w:val="24"/>
          <w:lang w:eastAsia="sk-SK"/>
        </w:rPr>
        <w:t>2021</w:t>
      </w:r>
    </w:p>
    <w:p w:rsidR="00B75517" w:rsidRDefault="00176ADC" w:rsidP="00B75517">
      <w:pPr>
        <w:spacing w:after="0" w:line="240" w:lineRule="auto"/>
        <w:jc w:val="both"/>
        <w:rPr>
          <w:rFonts w:ascii="Arial Black" w:eastAsia="Times New Roman" w:hAnsi="Arial Black" w:cs="Arial"/>
          <w:b/>
          <w:bCs/>
          <w:color w:val="008000"/>
          <w:sz w:val="24"/>
          <w:szCs w:val="24"/>
          <w:lang w:eastAsia="sk-SK"/>
        </w:rPr>
      </w:pPr>
      <w:r w:rsidRPr="00176ADC">
        <w:rPr>
          <w:rFonts w:ascii="Arial Black" w:eastAsia="Times New Roman" w:hAnsi="Arial Black" w:cs="Arial"/>
          <w:b/>
          <w:bCs/>
          <w:color w:val="008000"/>
          <w:sz w:val="24"/>
          <w:szCs w:val="24"/>
          <w:lang w:eastAsia="sk-SK"/>
        </w:rPr>
        <w:t>Elektronická prihláška</w:t>
      </w:r>
    </w:p>
    <w:p w:rsidR="00B75517" w:rsidRPr="00B75517" w:rsidRDefault="00176ADC" w:rsidP="00B7551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B75517">
        <w:rPr>
          <w:rFonts w:ascii="Arial Black" w:eastAsia="Times New Roman" w:hAnsi="Arial Black" w:cs="Arial"/>
          <w:sz w:val="24"/>
          <w:szCs w:val="24"/>
          <w:lang w:eastAsia="sk-SK"/>
        </w:rPr>
        <w:t>(ďalej len „</w:t>
      </w:r>
      <w:proofErr w:type="spellStart"/>
      <w:r w:rsidRPr="00B75517">
        <w:rPr>
          <w:rFonts w:ascii="Arial Black" w:eastAsia="Times New Roman" w:hAnsi="Arial Black" w:cs="Arial"/>
          <w:sz w:val="24"/>
          <w:szCs w:val="24"/>
          <w:lang w:eastAsia="sk-SK"/>
        </w:rPr>
        <w:t>e-prihláška</w:t>
      </w:r>
      <w:proofErr w:type="spellEnd"/>
      <w:r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“) sa podáva prostredníctvom webovej stránky danej fakulty. </w:t>
      </w:r>
      <w:proofErr w:type="spellStart"/>
      <w:r w:rsidRPr="00B75517">
        <w:rPr>
          <w:rFonts w:ascii="Arial Black" w:eastAsia="Times New Roman" w:hAnsi="Arial Black" w:cs="Arial"/>
          <w:sz w:val="24"/>
          <w:szCs w:val="24"/>
          <w:lang w:eastAsia="sk-SK"/>
        </w:rPr>
        <w:t>E-prihláška</w:t>
      </w:r>
      <w:proofErr w:type="spellEnd"/>
      <w:r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 je plnohodnotná prihláška na štúdium rovnako ak</w:t>
      </w:r>
      <w:r w:rsidR="00B75517">
        <w:rPr>
          <w:rFonts w:ascii="Arial Black" w:eastAsia="Times New Roman" w:hAnsi="Arial Black" w:cs="Arial"/>
          <w:sz w:val="24"/>
          <w:szCs w:val="24"/>
          <w:lang w:eastAsia="sk-SK"/>
        </w:rPr>
        <w:t>o prihláška v papierovej forme.</w:t>
      </w:r>
    </w:p>
    <w:p w:rsidR="00176ADC" w:rsidRPr="00B75517" w:rsidRDefault="00B75517" w:rsidP="00B7551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>n</w:t>
      </w:r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evyhnutnou podmienkou pre úspešne podanie </w:t>
      </w:r>
      <w:proofErr w:type="spellStart"/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>e-prihlášky</w:t>
      </w:r>
      <w:proofErr w:type="spellEnd"/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 xml:space="preserve"> na danej fakulte je tlač a následné odoslanie (najneskôr do stanoveného termínu na podávanie prihlášok) vytlačenej </w:t>
      </w:r>
      <w:proofErr w:type="spellStart"/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>e-prihlášky</w:t>
      </w:r>
      <w:proofErr w:type="spellEnd"/>
      <w:r w:rsidR="00176ADC" w:rsidRPr="00B75517">
        <w:rPr>
          <w:rFonts w:ascii="Arial Black" w:eastAsia="Times New Roman" w:hAnsi="Arial Black" w:cs="Arial"/>
          <w:sz w:val="24"/>
          <w:szCs w:val="24"/>
          <w:lang w:eastAsia="sk-SK"/>
        </w:rPr>
        <w:t>. Poplatok za podanie elektronicko-papierovej oproti klasickej papierovej prihláške je nižší o 2 až 25 €.</w:t>
      </w:r>
    </w:p>
    <w:p w:rsidR="00B75517" w:rsidRPr="00B75517" w:rsidRDefault="00176ADC" w:rsidP="00176ADC">
      <w:pPr>
        <w:spacing w:after="0" w:line="240" w:lineRule="auto"/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</w:pPr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       Fakulty poskytujú uchádzačom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online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 návody na vyplnenie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e-prihlášky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, príručky, animované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tutoriály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 (testovacie verzie) vo svojich informačných systémoch (AIS, UIS, AiS2, MAIS). Pri elektronickom podaní sa uchádzač zaregistruje, vyplní, potvrdí a vytlačí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e-prihlášku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. Vytlačenú a podpísanú prihlášku spolu s fakultou požadovanými prílohami a dokladom o zaplatení poplatku za prijímacie konanie odošle na adresu fakulty. </w:t>
      </w:r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br/>
        <w:t xml:space="preserve">Cez rozhranie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e-prihlášky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 uchádzač môže sledovať stav podanej prihlášky (elektronickej alebo papierovej) od zaevidovania, cez spárovanie podanej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e-prihlášky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 s doručenou papierovou prihláškou a s poplatkom za prijímacie konanie, rozhodnutie prijímacej komisie a využívať aj ďalšie funkcie. Pre prijatých uchádzačov je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e-prihláška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 následne spojená s odoslaním </w:t>
      </w:r>
      <w:r w:rsidRPr="00176ADC">
        <w:rPr>
          <w:rFonts w:ascii="Arial Black" w:eastAsia="Times New Roman" w:hAnsi="Arial Black" w:cs="Times New Roman"/>
          <w:b/>
          <w:bCs/>
          <w:i/>
          <w:iCs/>
          <w:sz w:val="17"/>
          <w:szCs w:val="17"/>
          <w:lang w:eastAsia="sk-SK"/>
        </w:rPr>
        <w:t>elektronickej návratky</w:t>
      </w:r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. V zásade sa jedná o elektronické potvrdenie akceptácie prijatia na vysokú školu (</w:t>
      </w:r>
      <w:hyperlink r:id="rId16" w:anchor="wZapisAN" w:tooltip="Pozri znenie §58 ods. 9 zákona 131/2002 Z.z. v samostatnom okne" w:history="1">
        <w:r w:rsidRPr="00176ADC">
          <w:rPr>
            <w:rFonts w:ascii="Arial Black" w:eastAsia="Times New Roman" w:hAnsi="Arial Black" w:cs="Times New Roman"/>
            <w:i/>
            <w:iCs/>
            <w:color w:val="0000FF"/>
            <w:sz w:val="17"/>
            <w:szCs w:val="17"/>
            <w:u w:val="single"/>
            <w:lang w:eastAsia="sk-SK"/>
          </w:rPr>
          <w:t>záujmu študovať</w:t>
        </w:r>
      </w:hyperlink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), zaslanie údajov pre zhotovenie študentského preukazu PIK (Personálna identifikačná karta) a / alebo </w:t>
      </w:r>
      <w:hyperlink r:id="rId17" w:tgtFrame="_blank" w:tooltip="čo je Medzinárodný študentský identifikačný preukaz" w:history="1">
        <w:r w:rsidRPr="00176ADC">
          <w:rPr>
            <w:rFonts w:ascii="Arial Black" w:eastAsia="Times New Roman" w:hAnsi="Arial Black" w:cs="Times New Roman"/>
            <w:i/>
            <w:iCs/>
            <w:color w:val="0000FF"/>
            <w:sz w:val="17"/>
            <w:szCs w:val="17"/>
            <w:u w:val="single"/>
            <w:lang w:eastAsia="sk-SK"/>
          </w:rPr>
          <w:t>ISIC (Medzinárodný študentský identifikačný preukaz</w:t>
        </w:r>
      </w:hyperlink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,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International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Student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 Identity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Card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), evidenciu poplatkov ku zápisu, objednanie učebníc z ponuky fakulty alebo vysokej školy. </w:t>
      </w:r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br/>
        <w:t>PIK je medzinárodný multifunkčný preukaz povinný v zmysle §67 </w:t>
      </w:r>
      <w:hyperlink r:id="rId18" w:tgtFrame="_blank" w:tooltip="zákon č.131/2002 Z.z. o vysokých školách, PDF formát" w:history="1">
        <w:r w:rsidRPr="00176ADC">
          <w:rPr>
            <w:rFonts w:ascii="Arial Black" w:eastAsia="Times New Roman" w:hAnsi="Arial Black" w:cs="Times New Roman"/>
            <w:i/>
            <w:iCs/>
            <w:color w:val="0000FF"/>
            <w:sz w:val="17"/>
            <w:szCs w:val="17"/>
            <w:u w:val="single"/>
            <w:lang w:eastAsia="sk-SK"/>
          </w:rPr>
          <w:t>zák. 131/2002 </w:t>
        </w:r>
        <w:proofErr w:type="spellStart"/>
        <w:r w:rsidRPr="00176ADC">
          <w:rPr>
            <w:rFonts w:ascii="Arial Black" w:eastAsia="Times New Roman" w:hAnsi="Arial Black" w:cs="Times New Roman"/>
            <w:i/>
            <w:iCs/>
            <w:color w:val="0000FF"/>
            <w:sz w:val="17"/>
            <w:szCs w:val="17"/>
            <w:u w:val="single"/>
            <w:lang w:eastAsia="sk-SK"/>
          </w:rPr>
          <w:t>Z.z</w:t>
        </w:r>
        <w:proofErr w:type="spellEnd"/>
        <w:r w:rsidRPr="00176ADC">
          <w:rPr>
            <w:rFonts w:ascii="Arial Black" w:eastAsia="Times New Roman" w:hAnsi="Arial Black" w:cs="Times New Roman"/>
            <w:i/>
            <w:iCs/>
            <w:color w:val="0000FF"/>
            <w:sz w:val="17"/>
            <w:szCs w:val="17"/>
            <w:u w:val="single"/>
            <w:lang w:eastAsia="sk-SK"/>
          </w:rPr>
          <w:t>.</w:t>
        </w:r>
        <w:r w:rsidRPr="00176ADC">
          <w:rPr>
            <w:rFonts w:ascii="Arial Black" w:eastAsia="Times New Roman" w:hAnsi="Arial Black" w:cs="Times New Roman"/>
            <w:i/>
            <w:iCs/>
            <w:noProof/>
            <w:color w:val="0000FF"/>
            <w:sz w:val="17"/>
            <w:szCs w:val="17"/>
            <w:lang w:eastAsia="sk-SK"/>
          </w:rPr>
          <w:drawing>
            <wp:inline distT="0" distB="0" distL="0" distR="0" wp14:anchorId="19C0CAEC" wp14:editId="14357C6E">
              <wp:extent cx="95250" cy="95250"/>
              <wp:effectExtent l="0" t="0" r="0" b="0"/>
              <wp:docPr id="6" name="Obrázok 6" descr="PDF formát">
                <a:hlinkClick xmlns:a="http://schemas.openxmlformats.org/drawingml/2006/main" r:id="rId18" tgtFrame="&quot;_blank&quot;" tooltip="&quot;zákon č.131/2002 Z.z. o vysokých školách, PDF formá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DF formát">
                        <a:hlinkClick r:id="rId18" tgtFrame="&quot;_blank&quot;" tooltip="&quot;zákon č.131/2002 Z.z. o vysokých školách, PDF formá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. Dňom zápisu vzniká študentovi zákonná povinnosť tento preukaz vlastniť. PIK slúži ako jediný preukaz zliav ŽSSK, SAD, MHD, ako knižničný preukaz viacerých knižníc, ako elektronický kľúč do budov, ako ubytovací a stravovací preukaz, pas AIS nutný ihneď po zápise na tvorbu rozvrhu, preukaz zliav ISIC, elektronická peňaženka (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Fax&amp;Copy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, </w:t>
      </w:r>
      <w:proofErr w:type="spellStart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>Ticketportal</w:t>
      </w:r>
      <w:proofErr w:type="spellEnd"/>
      <w:r w:rsidRPr="00176ADC">
        <w:rPr>
          <w:rFonts w:ascii="Arial Black" w:eastAsia="Times New Roman" w:hAnsi="Arial Black" w:cs="Times New Roman"/>
          <w:i/>
          <w:iCs/>
          <w:sz w:val="17"/>
          <w:szCs w:val="17"/>
          <w:lang w:eastAsia="sk-SK"/>
        </w:rPr>
        <w:t xml:space="preserve">…) a podobne. </w:t>
      </w:r>
    </w:p>
    <w:p w:rsidR="00176ADC" w:rsidRPr="00176ADC" w:rsidRDefault="00176ADC" w:rsidP="00176AD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176ADC">
        <w:rPr>
          <w:rFonts w:ascii="Arial Black" w:eastAsia="Times New Roman" w:hAnsi="Arial Black" w:cs="Arial"/>
          <w:b/>
          <w:bCs/>
          <w:color w:val="008000"/>
          <w:sz w:val="24"/>
          <w:szCs w:val="24"/>
          <w:lang w:eastAsia="sk-SK"/>
        </w:rPr>
        <w:t>Papierová prihláška</w:t>
      </w:r>
      <w:r w:rsidRPr="00176ADC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</w:t>
      </w:r>
      <w:r w:rsidRPr="00176ADC">
        <w:rPr>
          <w:rFonts w:ascii="Arial Black" w:eastAsia="Times New Roman" w:hAnsi="Arial Black" w:cs="Arial"/>
          <w:sz w:val="24"/>
          <w:szCs w:val="24"/>
          <w:lang w:eastAsia="sk-SK"/>
        </w:rPr>
        <w:t>sa podáva listovou zásielkou alebo osobným doručením na adresu fakulty. Formulár sa dá kúpiť v obchodoch  s tlačivami (napr. ŠEVT), vo vybraných  papiernictvách, prípadne sa dá stiahnuť z tejto alebo fakultnej webovej stránky.</w:t>
      </w:r>
    </w:p>
    <w:bookmarkStart w:id="0" w:name="_GoBack"/>
    <w:bookmarkEnd w:id="0"/>
    <w:p w:rsidR="00176ADC" w:rsidRPr="00176ADC" w:rsidRDefault="00390D48" w:rsidP="00176ADC">
      <w:pPr>
        <w:spacing w:before="100" w:beforeAutospacing="1" w:after="100" w:afterAutospacing="1" w:line="240" w:lineRule="auto"/>
        <w:jc w:val="right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lastRenderedPageBreak/>
        <w:fldChar w:fldCharType="begin"/>
      </w:r>
      <w:r>
        <w:instrText xml:space="preserve"> HYPERLINK "https://www.cvtisr.sk/skolstvo/vysoke-skoly/prijimacky-na-vysoke-skoly/ako-na-vysoku-skolu.html?page_id=9247" \l "wSoZaciatok" </w:instrText>
      </w:r>
      <w:r>
        <w:fldChar w:fldCharType="separate"/>
      </w:r>
      <w:r>
        <w:rPr>
          <w:rFonts w:ascii="Arial Black" w:eastAsia="Times New Roman" w:hAnsi="Arial Black" w:cs="Times New Roman"/>
          <w:noProof/>
          <w:sz w:val="24"/>
          <w:szCs w:val="24"/>
          <w:lang w:eastAsia="sk-SK"/>
        </w:rPr>
        <w:fldChar w:fldCharType="end"/>
      </w:r>
    </w:p>
    <w:p w:rsidR="00611B11" w:rsidRPr="00176ADC" w:rsidRDefault="00611B11">
      <w:pPr>
        <w:rPr>
          <w:rFonts w:ascii="Arial Black" w:hAnsi="Arial Black"/>
        </w:rPr>
      </w:pPr>
    </w:p>
    <w:sectPr w:rsidR="00611B11" w:rsidRPr="0017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0C3E"/>
    <w:multiLevelType w:val="hybridMultilevel"/>
    <w:tmpl w:val="58FADA4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DC"/>
    <w:rsid w:val="00176ADC"/>
    <w:rsid w:val="00390D48"/>
    <w:rsid w:val="004918AD"/>
    <w:rsid w:val="00611B11"/>
    <w:rsid w:val="00B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A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5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A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cvtisr.sk/buxus/docs/PKvs/Skoly/ss/css01.xls" TargetMode="External"/><Relationship Id="rId18" Type="http://schemas.openxmlformats.org/officeDocument/2006/relationships/hyperlink" Target="https://www.cvtisr.sk/buxus/docs/PKvs/z131_200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vtisr.sk/buxus/docs/PKvs/Fakulty/zwv53.pdf" TargetMode="External"/><Relationship Id="rId12" Type="http://schemas.openxmlformats.org/officeDocument/2006/relationships/hyperlink" Target="https://www.minedu.sk/prihlaska-na-vysokoskolske-studium-bakalarske-prvy-stupen-alebo-spojene-prvy-a-druhy-stupen-v-jednom-celku/" TargetMode="External"/><Relationship Id="rId17" Type="http://schemas.openxmlformats.org/officeDocument/2006/relationships/hyperlink" Target="http://www.isic.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vtisr.sk/skolstvo/vysoke-skoly/prijimacky-na-vysoke-skoly/ako-na-vysoku-skolu.html?page_id=92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vtisr.sk/skolstvo/vysoke-skoly/prijimacky-na-vysoke-skoly/ako-na-vysoku-skolu.html?page_id=9247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hyperlink" Target="https://www.cvtisr.sk/buxus/docs/PKvs/Skoly/ss/css01.pdf" TargetMode="External"/><Relationship Id="rId10" Type="http://schemas.openxmlformats.org/officeDocument/2006/relationships/hyperlink" Target="http://www.minedu.sk/data/att/14198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vtisr.sk/buxus/docs/PKvs/Skoly/zwv712.pdf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4</cp:revision>
  <dcterms:created xsi:type="dcterms:W3CDTF">2021-04-16T19:59:00Z</dcterms:created>
  <dcterms:modified xsi:type="dcterms:W3CDTF">2021-04-16T21:26:00Z</dcterms:modified>
</cp:coreProperties>
</file>