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0D" w:rsidRPr="0013340D" w:rsidRDefault="0013340D" w:rsidP="0013340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sk-SK"/>
        </w:rPr>
      </w:pPr>
      <w:r w:rsidRPr="0013340D">
        <w:rPr>
          <w:rFonts w:ascii="Arial Black" w:eastAsia="Times New Roman" w:hAnsi="Arial Black" w:cs="Times New Roman"/>
          <w:b/>
          <w:bCs/>
          <w:color w:val="FF6600"/>
          <w:sz w:val="28"/>
          <w:szCs w:val="28"/>
          <w:lang w:eastAsia="sk-SK"/>
        </w:rPr>
        <w:t>Prijímacia skúška</w:t>
      </w:r>
    </w:p>
    <w:p w:rsidR="0013340D" w:rsidRP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13340D">
        <w:rPr>
          <w:rFonts w:ascii="Arial Black" w:eastAsia="Times New Roman" w:hAnsi="Arial Black" w:cs="Times New Roman"/>
          <w:sz w:val="24"/>
          <w:szCs w:val="24"/>
          <w:lang w:eastAsia="sk-SK"/>
        </w:rPr>
        <w:t>Čo je prijímacie konanie ?</w:t>
      </w:r>
    </w:p>
    <w:p w:rsidR="0013340D" w:rsidRP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13340D" w:rsidRPr="0013340D" w:rsidRDefault="0013340D" w:rsidP="0013340D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Prijímacie konanie je proces, ktorý umožňuje uchádzačovi, ktorý preukáže splnenie určených podmienok, stať sa študentom vysokej školy a študovať podľa zvoleného študijného programu. </w:t>
      </w:r>
    </w:p>
    <w:p w:rsidR="0013340D" w:rsidRPr="0013340D" w:rsidRDefault="0013340D" w:rsidP="0013340D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Začína sa doručením prihlášky na štúdium vysokej škole alebo fakulte, ktorá uskutočňuje príslušný </w:t>
      </w:r>
      <w:hyperlink r:id="rId6" w:anchor="wSoPaO" w:tooltip="Čo je študijný program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študijný program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>. Zápisom prijatého uchádzača sa z neho stáva študent a proces prijímacieho konania sa uzatvára.</w:t>
      </w:r>
    </w:p>
    <w:p w:rsid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13340D" w:rsidRP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13340D" w:rsidRDefault="0013340D" w:rsidP="0013340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Prečítajte si pozorne zverejnené informácie na úradnej výveske alebo webovej stránke </w:t>
      </w:r>
      <w:hyperlink r:id="rId7" w:tgtFrame="_blank" w:tooltip="Zoznam fakúlt vysokých škôl podľa názvu fakulty s webovou adresou, PDF súbor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fakulty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 / </w:t>
      </w:r>
      <w:hyperlink r:id="rId8" w:tgtFrame="_blank" w:tooltip="Zoznam vysokých škôl podľa názvu vysokej školy s webovou adresou, PDF súbor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vysokej školy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 o podmienkach prijatia na štúdium, termíne a spôsobe overovania splnenia podmienok, forme a obsahu prijímacej skúšky, spôsobe vyhodnocovania jej výsledkov, informáciu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o počte uchádzačov, ktorých plá</w:t>
      </w:r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>nuje prijať na štúdium, o priebehu prijímacieho konania a o prihláške.</w:t>
      </w:r>
    </w:p>
    <w:p w:rsidR="0013340D" w:rsidRDefault="0013340D" w:rsidP="0013340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13340D" w:rsidRP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bookmarkStart w:id="0" w:name="_GoBack"/>
      <w:bookmarkEnd w:id="0"/>
    </w:p>
    <w:p w:rsidR="0013340D" w:rsidRPr="0013340D" w:rsidRDefault="0013340D" w:rsidP="0013340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Štatistika histórie prijímacieho konania do prvých ročníkov na vysokoškolské štúdium 1.stupňa a 1. a 2. stupňa spojeného do jedného celku na vysoké školy Slovenskej republiky od akademického roku 2001/2002 je na stránke </w:t>
      </w:r>
      <w:hyperlink r:id="rId9" w:tooltip="Ročenky od r.2001 na 1.stupeň › Ročenky od r.2008 na 2.stupeň › Priebežný stav k 31.5. od r.2006 na 1.stupeň › Priebežný stav k 31.5. od r.2008 na 2.stupeň ›        ------- Rebríčky škôl, fakúlt › Zoznam škôl, fakúlt a detašovaných pracovísk › Študijné programy › 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Štatistika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>. Posledné ukončené prijímacie konanie je rozšírené o </w:t>
      </w:r>
      <w:hyperlink r:id="rId10" w:tooltip="Rebríček fakúlt podľa počtu zapísaných ›        ------- Vybrané detaily roku › Zoznam škôl, fakúlt a detašovaných pracovísk › Študijné programy › 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rebríček fakúlt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, </w:t>
      </w:r>
      <w:hyperlink r:id="rId11" w:tooltip="Rebríček vysokých škôl podľa počtu zapísaných ›        ------- Vybrané detaily roku › Ročenky od roku 2006 › Zoznam škôl, fakúlt a detašovaných pracovísk › Študijné programy › 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rebríček vysokých škôl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 a celoštátne </w:t>
      </w:r>
      <w:hyperlink r:id="rId12" w:tooltip="Rebríčky vysokých škôl › Rebríčky fakúlt › Rebríčky študijných odborov › Rebríčky stredných škôl › Veková štruktúra uchádzačov ›        ------- Zber údajov z prijimacieho konania › Štatistika prijimacieho konania › Zoznam škôl, fakúlt a detašovaných pracovísk › Študijné programy › " w:history="1">
        <w:r w:rsidRPr="0013340D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rebríčky</w:t>
        </w:r>
      </w:hyperlink>
      <w:r w:rsidRPr="0013340D">
        <w:rPr>
          <w:rFonts w:ascii="Arial Black" w:eastAsia="Times New Roman" w:hAnsi="Arial Black" w:cs="Arial"/>
          <w:sz w:val="24"/>
          <w:szCs w:val="24"/>
          <w:lang w:eastAsia="sk-SK"/>
        </w:rPr>
        <w:t xml:space="preserve"> študijných odborov, uchádzačov, stredných škôl a veková štruktúra uchádzačov. </w:t>
      </w:r>
    </w:p>
    <w:p w:rsidR="0058283F" w:rsidRPr="0013340D" w:rsidRDefault="0058283F">
      <w:pPr>
        <w:rPr>
          <w:rFonts w:ascii="Arial Black" w:hAnsi="Arial Black"/>
        </w:rPr>
      </w:pPr>
    </w:p>
    <w:sectPr w:rsidR="0058283F" w:rsidRPr="0013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767A9"/>
    <w:multiLevelType w:val="hybridMultilevel"/>
    <w:tmpl w:val="047416D6"/>
    <w:lvl w:ilvl="0" w:tplc="E90291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0D"/>
    <w:rsid w:val="0013340D"/>
    <w:rsid w:val="0058283F"/>
    <w:rsid w:val="007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tisr.sk/buxus/docs/PKvs/Skoly/zwv71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vtisr.sk/buxus/docs/PKvs/Fakulty/zwv53.pdf" TargetMode="External"/><Relationship Id="rId12" Type="http://schemas.openxmlformats.org/officeDocument/2006/relationships/hyperlink" Target="https://www.cvtisr.sk/skolstvo/vysoke-skoly/prijimacky-na-vysoke-skoly/rebricky.html?page_id=10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tisr.sk/skolstvo/vysoke-skoly/prijimacky-na-vysoke-skoly/ako-na-vysoku-skolu.html?page_id=9247" TargetMode="External"/><Relationship Id="rId11" Type="http://schemas.openxmlformats.org/officeDocument/2006/relationships/hyperlink" Target="https://www.cvtisr.sk/skolstvo/vysoke-skoly/prijimacky-na-vysoke-skoly/prijimacie-konanie-na-vysoke-skoly-v-roku-2018.html?page_id=103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vtisr.sk/skolstvo/vysoke-skoly/prijimacky-na-vysoke-skoly/prijimacie-konanie-na-fakulty-v-roku-2018.html?page_id=10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vtisr.sk/cvti-sr-vedecka-kniznica/informacie-o-skolstve/statistiky/statistika-prijimacieho-konania-na-vysoke-skoly-sr.html?page_id=97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2021-04-16T20:59:00Z</dcterms:created>
  <dcterms:modified xsi:type="dcterms:W3CDTF">2021-04-16T20:59:00Z</dcterms:modified>
</cp:coreProperties>
</file>