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60" w:rsidRPr="00AF2060" w:rsidRDefault="00AF2060" w:rsidP="00AF2060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sk-SK"/>
        </w:rPr>
      </w:pPr>
      <w:r w:rsidRPr="00AF2060">
        <w:rPr>
          <w:rFonts w:ascii="Arial Black" w:eastAsia="Times New Roman" w:hAnsi="Arial Black" w:cs="Times New Roman"/>
          <w:b/>
          <w:bCs/>
          <w:color w:val="FF6600"/>
          <w:sz w:val="28"/>
          <w:szCs w:val="28"/>
          <w:lang w:eastAsia="sk-SK"/>
        </w:rPr>
        <w:t>Štúdium na vysokých školách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>Ako sa študuje na vysokej škole ?</w:t>
      </w: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Štúdium na vysokých školách prebieha v dennej a externej forme štúdia v prezenčnej, distančnej alebo kombinovanej metóde. 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Denná forma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 štúdia charakterizuje denná účasť študenta na vzdelávacích činnostiach. 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Externú formu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štúdia charakterizuje preva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žne samostatné štúdium a konzultácie. 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Prezenčnú metódu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 štúdia charakterizuje 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vyučovanie, pri ktorom je učiteľ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 v priamom kontakte so študentom. Študijné programy v dennej forme štúdia 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sa väčšinou uskutočň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 xml:space="preserve">ujú v prezenčnej metóde štúdia. 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Dištanč</w:t>
      </w:r>
      <w:r w:rsidRPr="00AF2060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ná metóda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nahrádza priamy kontakt učiteľ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>a so študentom komunikáciou prostredníctvom komunikačných prostriedkov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založených na využívaní počítač</w:t>
      </w:r>
      <w:r w:rsidRPr="00AF2060">
        <w:rPr>
          <w:rFonts w:ascii="Arial Black" w:eastAsia="Times New Roman" w:hAnsi="Arial Black" w:cs="Arial"/>
          <w:sz w:val="24"/>
          <w:szCs w:val="24"/>
          <w:lang w:eastAsia="sk-SK"/>
        </w:rPr>
        <w:t>ových sieti.</w:t>
      </w:r>
    </w:p>
    <w:p w:rsidR="00AF2060" w:rsidRDefault="00AF2060" w:rsidP="00AF2060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bookmarkStart w:id="0" w:name="_GoBack"/>
      <w:bookmarkEnd w:id="0"/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¦  </w:t>
      </w:r>
      <w:hyperlink r:id="rId5" w:tgtFrame="_blank" w:tooltip="Systém vysokého školstva v Slovenskej republike, RTF formát" w:history="1">
        <w:r w:rsidRPr="00AF2060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03EA95A3" wp14:editId="597B3DF1">
              <wp:extent cx="152400" cy="152400"/>
              <wp:effectExtent l="0" t="0" r="0" b="0"/>
              <wp:docPr id="1" name="Obrázok 1" descr="DOC formát">
                <a:hlinkClick xmlns:a="http://schemas.openxmlformats.org/drawingml/2006/main" r:id="rId5" tgtFrame="&quot;_blank&quot;" tooltip="&quot;Systém vysokého školstva v Slovenskej republike, RT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OC formát">
                        <a:hlinkClick r:id="rId5" tgtFrame="&quot;_blank&quot;" tooltip="&quot;Systém vysokého školstva v Slovenskej republike, RT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Systém vysokého školstva v Slovenskej republike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za akademický rok 2019/2020,   </w:t>
      </w:r>
      <w:hyperlink r:id="rId7" w:tgtFrame="_blank" w:tooltip="Ministerstvo školstva, vedy, výskumu a športu Slovenskej republiky" w:history="1"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zdroj : 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>  </w:t>
      </w:r>
      <w:proofErr w:type="spellStart"/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>MŠVVaŠ</w:t>
      </w:r>
      <w:proofErr w:type="spellEnd"/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SR</w:t>
      </w: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¦  </w:t>
      </w:r>
      <w:hyperlink r:id="rId8" w:tgtFrame="_blank" w:tooltip="zákon č.131/2002 Z.z. o vysokých školách, PDF formát" w:history="1">
        <w:r w:rsidRPr="00AF2060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68043B70" wp14:editId="05691F51">
              <wp:extent cx="152400" cy="152400"/>
              <wp:effectExtent l="0" t="0" r="0" b="0"/>
              <wp:docPr id="2" name="Obrázok 2" descr="PDF formát">
                <a:hlinkClick xmlns:a="http://schemas.openxmlformats.org/drawingml/2006/main" r:id="rId8" tgtFrame="&quot;_blank&quot;" tooltip="&quot;zákon č.131/2002 Z.z. o vysokých školách, PD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DF formát">
                        <a:hlinkClick r:id="rId8" tgtFrame="&quot;_blank&quot;" tooltip="&quot;zákon č.131/2002 Z.z. o vysokých školách, PD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zákon č. 131/2002 Z. z. o vysokých školách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>, aktuálne znenie od 13.11.2019</w:t>
      </w: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¦  </w:t>
      </w:r>
      <w:hyperlink r:id="rId10" w:tgtFrame="_blank" w:tooltip="vyhláška č.102/2006 o priznávaní sociálneho štipendia študentom vysokých škôl PDF formát" w:history="1">
        <w:r w:rsidRPr="00AF2060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2CE321EC" wp14:editId="209916C1">
              <wp:extent cx="152400" cy="152400"/>
              <wp:effectExtent l="0" t="0" r="0" b="0"/>
              <wp:docPr id="3" name="Obrázok 3" descr="PDF formát">
                <a:hlinkClick xmlns:a="http://schemas.openxmlformats.org/drawingml/2006/main" r:id="rId10" tgtFrame="&quot;_blank&quot;" tooltip="&quot;vyhláška č.102/2006 o priznávaní sociálneho štipendia študentom vysokých škôl PD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PDF formát">
                        <a:hlinkClick r:id="rId10" tgtFrame="&quot;_blank&quot;" tooltip="&quot;vyhláška č.102/2006 o priznávaní sociálneho štipendia študentom vysokých škôl PD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vyhláška č.102/2006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o priznávaní sociálneho štipendia študentom vysokých škôl, aktuálne znenie k 1.9.2014</w:t>
      </w: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¦  </w:t>
      </w:r>
      <w:hyperlink r:id="rId11" w:tgtFrame="_blank" w:tooltip="vyhláška č.458/2012 o minimálnych nárokoch študenta so špecifickými potrebami, PDF formát" w:history="1">
        <w:r w:rsidRPr="00AF2060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2C0AB08C" wp14:editId="3123BACF">
              <wp:extent cx="152400" cy="152400"/>
              <wp:effectExtent l="0" t="0" r="0" b="0"/>
              <wp:docPr id="4" name="Obrázok 4" descr="PDF formát">
                <a:hlinkClick xmlns:a="http://schemas.openxmlformats.org/drawingml/2006/main" r:id="rId11" tgtFrame="&quot;_blank&quot;" tooltip="&quot;vyhláška č.458/2012 o minimálnych nárokoch študenta so špecifickými potrebami, PD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DF formát">
                        <a:hlinkClick r:id="rId11" tgtFrame="&quot;_blank&quot;" tooltip="&quot;vyhláška č.458/2012 o minimálnych nárokoch študenta so špecifickými potrebami, PD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vyhláška č.458/2012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o minimálnych nárokoch študenta so špecifickými potrebami</w:t>
      </w:r>
    </w:p>
    <w:p w:rsidR="00AF2060" w:rsidRPr="00AF2060" w:rsidRDefault="00AF2060" w:rsidP="00AF2060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¦  </w:t>
      </w:r>
      <w:hyperlink r:id="rId12" w:tgtFrame="_blank" w:tooltip="zákon č. 396/2012 Z.z. o Fonde na podporu vzdelávania, PDF formát" w:history="1">
        <w:r w:rsidRPr="00AF2060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42C269C5" wp14:editId="37608ADA">
              <wp:extent cx="152400" cy="152400"/>
              <wp:effectExtent l="0" t="0" r="0" b="0"/>
              <wp:docPr id="5" name="Obrázok 5" descr="PDF formát">
                <a:hlinkClick xmlns:a="http://schemas.openxmlformats.org/drawingml/2006/main" r:id="rId12" tgtFrame="&quot;_blank&quot;" tooltip="&quot;zákon č. 396/2012 Z.z. o Fonde na podporu vzdelávania, PDF formá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DF formát">
                        <a:hlinkClick r:id="rId12" tgtFrame="&quot;_blank&quot;" tooltip="&quot;zákon č. 396/2012 Z.z. o Fonde na podporu vzdelávania, PDF formá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 xml:space="preserve">zákon č. 396/2012 </w:t>
        </w:r>
        <w:proofErr w:type="spellStart"/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Z.z</w:t>
        </w:r>
        <w:proofErr w:type="spellEnd"/>
        <w:r w:rsidRPr="00AF2060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. o Fonde na podporu vzdelávania</w:t>
        </w:r>
      </w:hyperlink>
      <w:r w:rsidRPr="00AF2060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aktuálne znenie od 01.09.2019 </w:t>
      </w:r>
      <w:hyperlink r:id="rId13" w:tgtFrame="_blank" w:tooltip="Webová stránka Fondu na podporu vzdelávania v samostatnom okne" w:history="1">
        <w:proofErr w:type="spellStart"/>
        <w:r w:rsidRPr="00AF2060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  <w:lang w:eastAsia="sk-SK"/>
          </w:rPr>
          <w:t>FnPV</w:t>
        </w:r>
        <w:proofErr w:type="spellEnd"/>
      </w:hyperlink>
    </w:p>
    <w:p w:rsidR="006374B0" w:rsidRPr="00AF2060" w:rsidRDefault="006374B0">
      <w:pPr>
        <w:rPr>
          <w:rFonts w:ascii="Arial Black" w:hAnsi="Arial Black"/>
        </w:rPr>
      </w:pPr>
    </w:p>
    <w:sectPr w:rsidR="006374B0" w:rsidRPr="00AF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60"/>
    <w:rsid w:val="006374B0"/>
    <w:rsid w:val="00981077"/>
    <w:rsid w:val="00A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tisr.sk/buxus/docs/PKvs/z131_2002.pdf" TargetMode="External"/><Relationship Id="rId13" Type="http://schemas.openxmlformats.org/officeDocument/2006/relationships/hyperlink" Target="http://www.spf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edu.sk/system-vysokeho-skolstva-v-sr-sucast-dodatku-k-diplomu/" TargetMode="External"/><Relationship Id="rId12" Type="http://schemas.openxmlformats.org/officeDocument/2006/relationships/hyperlink" Target="https://www.cvtisr.sk/buxus/docs/PKvs/z396_201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cvtisr.sk/buxus/docs/PKvs/vyh458_12.pdf" TargetMode="External"/><Relationship Id="rId5" Type="http://schemas.openxmlformats.org/officeDocument/2006/relationships/hyperlink" Target="http://www.minedu.sk/data/att/15102.rt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vtisr.sk/buxus/docs/PKvs/vyh102_2014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2021-04-16T20:34:00Z</dcterms:created>
  <dcterms:modified xsi:type="dcterms:W3CDTF">2021-04-16T20:34:00Z</dcterms:modified>
</cp:coreProperties>
</file>